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7F" w:rsidRDefault="004E4E7F" w:rsidP="004E4E7F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Y K A Z</w:t>
      </w:r>
    </w:p>
    <w:p w:rsidR="004E4E7F" w:rsidRDefault="004E4E7F" w:rsidP="004E4E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nieruchomości przeznaczonej do sprzedaży w drodze  bezprzetargowej na rzecz najemcy położonej na terenie miasta Fromborka</w:t>
      </w:r>
    </w:p>
    <w:p w:rsidR="004E4E7F" w:rsidRDefault="004E4E7F" w:rsidP="004E4E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48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96"/>
        <w:gridCol w:w="2047"/>
        <w:gridCol w:w="1558"/>
        <w:gridCol w:w="1700"/>
        <w:gridCol w:w="1700"/>
        <w:gridCol w:w="2976"/>
      </w:tblGrid>
      <w:tr w:rsidR="004E4E7F" w:rsidTr="004E4E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Oznaczenie nieruchomości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działki,  obręb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Powierzchnia w ha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 nieruchomości przeznaczonej do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Przeznaczenia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nieruchomości wg wyceny rzeczoznawcy majątkowego w złotych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sprzedaży nieruchomości po udzieleniu bonifikaty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Warunki nabycia nieruchomości lokalowej</w:t>
            </w:r>
          </w:p>
        </w:tc>
      </w:tr>
      <w:tr w:rsidR="004E4E7F" w:rsidTr="004E4E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4E4E7F" w:rsidTr="004E4E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EL1B/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00014488/5</w:t>
            </w: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37/7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obręb 7 Frombork</w:t>
            </w: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59</w:t>
            </w: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Lokal mieszkalny nr 9 o powierzchni  </w:t>
            </w:r>
            <w:r w:rsidRPr="004E4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58,77</w:t>
            </w:r>
            <w:r w:rsidRPr="004E4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wraz z przynależną piwnicą o powierzchni </w:t>
            </w:r>
            <w:r w:rsidRPr="004E4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9,0</w:t>
            </w:r>
            <w:r w:rsidRPr="004E4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położony w budynku nr 7 we Fromborku wraz ze sprzedażą udziału </w:t>
            </w:r>
            <w:r w:rsidRPr="004E4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77/1000</w:t>
            </w:r>
            <w:r w:rsidRPr="004E4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działce oraz części wspólnych i urządzeń budynku.</w:t>
            </w: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lokal mieszkalny</w:t>
            </w: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Wartość lokalu i udziału w gruncie wynosi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166 600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złotych </w:t>
            </w: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7F" w:rsidRDefault="0067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10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="004E4E7F" w:rsidRPr="006710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0% </w:t>
            </w:r>
            <w:r w:rsidR="004E4E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wartości lokalu mieszkalnego i udziału w gruncie licząc od  wyceny rzeczoznawcy majątkowego.</w:t>
            </w: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E4E7F" w:rsidRDefault="004E4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7F" w:rsidRDefault="004E4E7F">
            <w:pPr>
              <w:spacing w:after="0" w:line="240" w:lineRule="auto"/>
              <w:ind w:right="-17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nabycia lokalu i pomieszczenia  w budynku gospodarczym.</w:t>
            </w:r>
          </w:p>
          <w:p w:rsidR="004E4E7F" w:rsidRDefault="004E4E7F">
            <w:pPr>
              <w:spacing w:after="0" w:line="240" w:lineRule="auto"/>
              <w:ind w:right="-17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Gotówką lub na raty.</w:t>
            </w:r>
          </w:p>
          <w:p w:rsidR="004E4E7F" w:rsidRDefault="004E4E7F" w:rsidP="006A6B55">
            <w:pPr>
              <w:numPr>
                <w:ilvl w:val="0"/>
                <w:numId w:val="1"/>
              </w:numPr>
              <w:spacing w:after="0" w:line="240" w:lineRule="auto"/>
              <w:ind w:right="-17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musi być uiszczona najpóźniej  przed podpisaniem  umowy notarialnej.</w:t>
            </w:r>
          </w:p>
          <w:p w:rsidR="004E4E7F" w:rsidRDefault="004E4E7F" w:rsidP="006A6B55">
            <w:pPr>
              <w:numPr>
                <w:ilvl w:val="0"/>
                <w:numId w:val="1"/>
              </w:numPr>
              <w:spacing w:after="0" w:line="240" w:lineRule="auto"/>
              <w:ind w:right="-17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Przy nabyciu ratalnym I rata wynosi 10% wartości lokalu, zaś pozostała  kwota jest rozłożona na dziewięć równych rocznych rat płatnych do 31 marca każdego roku z oprocentowaniem wynoszącym 3% od niespłaconej należności. </w:t>
            </w:r>
          </w:p>
          <w:p w:rsidR="004E4E7F" w:rsidRDefault="004E4E7F">
            <w:pPr>
              <w:spacing w:after="0" w:line="240" w:lineRule="auto"/>
              <w:ind w:left="360" w:right="-17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E4E7F" w:rsidRDefault="004E4E7F" w:rsidP="004E4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4E7F" w:rsidRDefault="004E4E7F" w:rsidP="004E4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1.Termin do złożenia wniosku przez osoby, którym przysługuje pierwszeństwo w nabyciu nieruchomości na podstawie art. 34 ust. 1 pkt. 1 </w:t>
      </w:r>
      <w:r w:rsidR="006710AD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ustawy o gospodarce nieruchomościami nie może być krótszy niż 6 tygodni, licząc od daty wywieszenia wykazu, ale nie dłuższy niż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710AD" w:rsidRPr="006710AD">
        <w:rPr>
          <w:rFonts w:ascii="Times New Roman" w:eastAsia="Times New Roman" w:hAnsi="Times New Roman"/>
          <w:sz w:val="24"/>
          <w:szCs w:val="24"/>
          <w:lang w:eastAsia="pl-PL"/>
        </w:rPr>
        <w:t>16 marca 2023</w:t>
      </w:r>
      <w:r w:rsidRPr="006710AD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9A03C1" w:rsidRDefault="006710AD" w:rsidP="004E4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4E4E7F">
        <w:rPr>
          <w:rFonts w:ascii="Times New Roman" w:eastAsia="Times New Roman" w:hAnsi="Times New Roman"/>
          <w:sz w:val="24"/>
          <w:szCs w:val="24"/>
          <w:lang w:eastAsia="pl-PL"/>
        </w:rPr>
        <w:t>Poucza się nabywców o skutkach wynikających z art.67 ust.2 i 2a ustawy o gospodarce  nieruchomościami w przypadku zbycia lub wykorzystania na inny cel przed upływem 5 lat nabytej nieruchomości lokalowej.</w:t>
      </w:r>
    </w:p>
    <w:p w:rsidR="006710AD" w:rsidRDefault="006710AD" w:rsidP="004E4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10AD" w:rsidRPr="004E4E7F" w:rsidRDefault="006710AD" w:rsidP="004E4E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Frombork, dnia 01.02.2023 r.</w:t>
      </w:r>
    </w:p>
    <w:sectPr w:rsidR="006710AD" w:rsidRPr="004E4E7F" w:rsidSect="006710AD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31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0D"/>
    <w:rsid w:val="00423F0D"/>
    <w:rsid w:val="004E4E7F"/>
    <w:rsid w:val="006710AD"/>
    <w:rsid w:val="009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E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E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2</cp:revision>
  <dcterms:created xsi:type="dcterms:W3CDTF">2023-02-01T09:41:00Z</dcterms:created>
  <dcterms:modified xsi:type="dcterms:W3CDTF">2023-02-01T10:47:00Z</dcterms:modified>
</cp:coreProperties>
</file>